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B972A" w14:textId="42E768A6" w:rsidR="00410C77" w:rsidRDefault="0073141E" w:rsidP="00EB712D">
      <w:pPr>
        <w:jc w:val="center"/>
        <w:rPr>
          <w:rFonts w:ascii="Times New Roman" w:hAnsi="Times New Roman" w:cs="Times New Roman"/>
          <w:b/>
          <w:bCs/>
          <w:sz w:val="24"/>
          <w:szCs w:val="24"/>
        </w:rPr>
      </w:pPr>
      <w:r>
        <w:rPr>
          <w:rFonts w:ascii="Times New Roman" w:hAnsi="Times New Roman" w:cs="Times New Roman"/>
          <w:b/>
          <w:bCs/>
          <w:sz w:val="24"/>
          <w:szCs w:val="24"/>
        </w:rPr>
        <w:t>Section 3</w:t>
      </w:r>
    </w:p>
    <w:p w14:paraId="062DAA75" w14:textId="291BAAE1" w:rsidR="00006960" w:rsidRDefault="0073141E" w:rsidP="00EB712D">
      <w:pPr>
        <w:rPr>
          <w:rFonts w:ascii="Times New Roman" w:hAnsi="Times New Roman" w:cs="Times New Roman"/>
          <w:sz w:val="24"/>
          <w:szCs w:val="24"/>
        </w:rPr>
      </w:pPr>
      <w:r>
        <w:rPr>
          <w:rFonts w:ascii="Times New Roman" w:hAnsi="Times New Roman" w:cs="Times New Roman"/>
          <w:sz w:val="24"/>
          <w:szCs w:val="24"/>
        </w:rPr>
        <w:t xml:space="preserve">Tax deductions reach a time they become either useful to the owner or it might reach a time they can become a burden to the owner. The most determinant factor that brings this difference is these critical life-making decisions. Someone's property is usually a very reliable type of asset. Land appreciates with time depending on the locations in where the property in the talk is situated. When we look at this woman's property, it serves both as her residence plus at the same time, there is a room in which it is used as the processing place of her bakery property. </w:t>
      </w:r>
    </w:p>
    <w:p w14:paraId="0513AFB4" w14:textId="35E31F5D" w:rsidR="00EE592C" w:rsidRDefault="0073141E" w:rsidP="00EB712D">
      <w:pPr>
        <w:rPr>
          <w:rFonts w:ascii="Times New Roman" w:hAnsi="Times New Roman" w:cs="Times New Roman"/>
          <w:sz w:val="24"/>
          <w:szCs w:val="24"/>
        </w:rPr>
      </w:pPr>
      <w:r>
        <w:rPr>
          <w:rFonts w:ascii="Times New Roman" w:hAnsi="Times New Roman" w:cs="Times New Roman"/>
          <w:sz w:val="24"/>
          <w:szCs w:val="24"/>
        </w:rPr>
        <w:t xml:space="preserve">In the consideration of all </w:t>
      </w:r>
      <w:r w:rsidR="00E62592">
        <w:rPr>
          <w:rFonts w:ascii="Times New Roman" w:hAnsi="Times New Roman" w:cs="Times New Roman"/>
          <w:sz w:val="24"/>
          <w:szCs w:val="24"/>
        </w:rPr>
        <w:t>these things</w:t>
      </w:r>
      <w:r>
        <w:rPr>
          <w:rFonts w:ascii="Times New Roman" w:hAnsi="Times New Roman" w:cs="Times New Roman"/>
          <w:sz w:val="24"/>
          <w:szCs w:val="24"/>
        </w:rPr>
        <w:t>, it’s important for there to be an intense analysis of the options the lady has before finally settling for the option to take the deductions.</w:t>
      </w:r>
      <w:r w:rsidR="00E62592">
        <w:rPr>
          <w:rFonts w:ascii="Times New Roman" w:hAnsi="Times New Roman" w:cs="Times New Roman"/>
          <w:sz w:val="24"/>
          <w:szCs w:val="24"/>
        </w:rPr>
        <w:t xml:space="preserve"> For instance, these other small businesses in talk create a curious ground for one to consider. An intense calculation must be made to compare expenses. In this case, the expenses that are to be looked at are for instance, how much money will have to be applied to this business before it can sufficiently run itself. Another major factor to be considered here is how much the new small businesses will be bringing in as compared to the total profit that the bakery business brought in.</w:t>
      </w:r>
    </w:p>
    <w:p w14:paraId="6536F971" w14:textId="1E10D751" w:rsidR="00E62592" w:rsidRDefault="0073141E" w:rsidP="00EB712D">
      <w:pPr>
        <w:rPr>
          <w:rFonts w:ascii="Times New Roman" w:hAnsi="Times New Roman" w:cs="Times New Roman"/>
          <w:sz w:val="24"/>
          <w:szCs w:val="24"/>
        </w:rPr>
      </w:pPr>
      <w:r>
        <w:rPr>
          <w:rFonts w:ascii="Times New Roman" w:hAnsi="Times New Roman" w:cs="Times New Roman"/>
          <w:sz w:val="24"/>
          <w:szCs w:val="24"/>
        </w:rPr>
        <w:t xml:space="preserve">One advantage of an already existing business is the time that was invested in the business all this time.no matter how well a certain business idea can be, all businesses </w:t>
      </w:r>
      <w:r w:rsidR="0032660D">
        <w:rPr>
          <w:rFonts w:ascii="Times New Roman" w:hAnsi="Times New Roman" w:cs="Times New Roman"/>
          <w:sz w:val="24"/>
          <w:szCs w:val="24"/>
        </w:rPr>
        <w:t>take</w:t>
      </w:r>
      <w:r>
        <w:rPr>
          <w:rFonts w:ascii="Times New Roman" w:hAnsi="Times New Roman" w:cs="Times New Roman"/>
          <w:sz w:val="24"/>
          <w:szCs w:val="24"/>
        </w:rPr>
        <w:t xml:space="preserve"> time before reaching their maximum potential. A business that has been running for quite a while should be well-rooted. In this entire time, one must have collected regular based loyal customers. Giving up this to venture on some new-based idea going around might be risky. The major question that </w:t>
      </w:r>
      <w:r w:rsidR="0032660D">
        <w:rPr>
          <w:rFonts w:ascii="Times New Roman" w:hAnsi="Times New Roman" w:cs="Times New Roman"/>
          <w:sz w:val="24"/>
          <w:szCs w:val="24"/>
        </w:rPr>
        <w:t xml:space="preserve">this new business brings is the uncertainties that come with venturing into these businesses. For instance, how long will it take before the business starts to make a profit? How long will it take for the business to reach its maximum profit? What if the business doesn't go as it was supposed to and ends up failing? All these questions are very important and need to be considered before </w:t>
      </w:r>
      <w:r w:rsidR="0032660D">
        <w:rPr>
          <w:rFonts w:ascii="Times New Roman" w:hAnsi="Times New Roman" w:cs="Times New Roman"/>
          <w:sz w:val="24"/>
          <w:szCs w:val="24"/>
        </w:rPr>
        <w:lastRenderedPageBreak/>
        <w:t xml:space="preserve">venturing into a new uncertain path. One major advantage of the currently existing business is that it's a food processing facility. A bakery is majorly used in the processing and production of bread and also cake. These are some of the major </w:t>
      </w:r>
      <w:r w:rsidR="00AF35FA">
        <w:rPr>
          <w:rFonts w:ascii="Times New Roman" w:hAnsi="Times New Roman" w:cs="Times New Roman"/>
          <w:sz w:val="24"/>
          <w:szCs w:val="24"/>
        </w:rPr>
        <w:t>foodstuffs that most families use in a breakfast meal. This makes this business advantageous because the products in play can be sold easily and profit to be recorded daily.</w:t>
      </w:r>
      <w:r w:rsidR="00920D3E">
        <w:rPr>
          <w:rFonts w:ascii="Times New Roman" w:hAnsi="Times New Roman" w:cs="Times New Roman"/>
          <w:sz w:val="24"/>
          <w:szCs w:val="24"/>
        </w:rPr>
        <w:t xml:space="preserve"> A home office deduction can also come in handy because it will reduce once current expense that is in talks. This although will come in handy if one uses a couple of spaces in one's homestead to run a business.</w:t>
      </w:r>
    </w:p>
    <w:p w14:paraId="613072B4" w14:textId="77A7A87D" w:rsidR="00920D3E" w:rsidRDefault="0073141E" w:rsidP="00EB712D">
      <w:pPr>
        <w:rPr>
          <w:rFonts w:ascii="Times New Roman" w:hAnsi="Times New Roman" w:cs="Times New Roman"/>
          <w:sz w:val="24"/>
          <w:szCs w:val="24"/>
        </w:rPr>
      </w:pPr>
      <w:r>
        <w:rPr>
          <w:rFonts w:ascii="Times New Roman" w:hAnsi="Times New Roman" w:cs="Times New Roman"/>
          <w:sz w:val="24"/>
          <w:szCs w:val="24"/>
        </w:rPr>
        <w:t xml:space="preserve">She will fit these deductions as she already qualifies for the deduction itself. She has a room which she has specifically set aside for her bakery business. The most qualifying factor that is considered or calculated is the percentage of the part of your home that has been set aside for your business. The percentage space of the land and space in which your business occupies is compared over the </w:t>
      </w:r>
      <w:r w:rsidR="00A555A2">
        <w:rPr>
          <w:rFonts w:ascii="Times New Roman" w:hAnsi="Times New Roman" w:cs="Times New Roman"/>
          <w:sz w:val="24"/>
          <w:szCs w:val="24"/>
        </w:rPr>
        <w:t>total</w:t>
      </w:r>
      <w:r>
        <w:rPr>
          <w:rFonts w:ascii="Times New Roman" w:hAnsi="Times New Roman" w:cs="Times New Roman"/>
          <w:sz w:val="24"/>
          <w:szCs w:val="24"/>
        </w:rPr>
        <w:t xml:space="preserve"> space of your property in which this time it will be 100</w:t>
      </w:r>
      <w:r w:rsidR="00A555A2">
        <w:rPr>
          <w:rFonts w:ascii="Times New Roman" w:hAnsi="Times New Roman" w:cs="Times New Roman"/>
          <w:sz w:val="24"/>
          <w:szCs w:val="24"/>
        </w:rPr>
        <w:t xml:space="preserve"> percent. On the other hand, if the space dedicated for the business is not that important, that simply means it's used to just conduct a mere small business, then this deduction won't be that necessary.</w:t>
      </w:r>
    </w:p>
    <w:p w14:paraId="1DEFCFCB" w14:textId="7DF85289" w:rsidR="00A555A2" w:rsidRDefault="0073141E" w:rsidP="00EB712D">
      <w:pPr>
        <w:rPr>
          <w:rFonts w:ascii="Times New Roman" w:hAnsi="Times New Roman" w:cs="Times New Roman"/>
          <w:sz w:val="24"/>
          <w:szCs w:val="24"/>
        </w:rPr>
      </w:pPr>
      <w:r>
        <w:rPr>
          <w:rFonts w:ascii="Times New Roman" w:hAnsi="Times New Roman" w:cs="Times New Roman"/>
          <w:sz w:val="24"/>
          <w:szCs w:val="24"/>
        </w:rPr>
        <w:t xml:space="preserve">One is usually left to consider a couple of these which are the requirements for one to have to qualify to deduct expenses. For instance, you have to consider which type of expenses one considers to deduct. </w:t>
      </w:r>
      <w:r w:rsidR="000C6D10">
        <w:rPr>
          <w:rFonts w:ascii="Times New Roman" w:hAnsi="Times New Roman" w:cs="Times New Roman"/>
          <w:sz w:val="24"/>
          <w:szCs w:val="24"/>
        </w:rPr>
        <w:t xml:space="preserve">With all this in play, I wouldn't advise her on taking these deductions. No choice always fails to come with its own concealed consequences. There are a couple of things that these deductions will impact her either directly or indirectly. Her business has been able to run all this time without these deductions. It won't hurt if she continues to run her business the way it has been for all this time. Introducing some other uncertainties in the pictured might, later on, bring issues.  </w:t>
      </w:r>
    </w:p>
    <w:p w14:paraId="254E3B5B" w14:textId="77777777" w:rsidR="0073141E" w:rsidRDefault="0073141E" w:rsidP="00EB712D">
      <w:pPr>
        <w:rPr>
          <w:rFonts w:ascii="Times New Roman" w:hAnsi="Times New Roman" w:cs="Times New Roman"/>
          <w:b/>
          <w:bCs/>
          <w:sz w:val="24"/>
          <w:szCs w:val="24"/>
        </w:rPr>
      </w:pPr>
    </w:p>
    <w:p w14:paraId="3A833EA4" w14:textId="551F1AA6" w:rsidR="0073141E" w:rsidRDefault="0073141E" w:rsidP="008120D3">
      <w:pPr>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lastRenderedPageBreak/>
        <w:t>Reference</w:t>
      </w:r>
    </w:p>
    <w:p w14:paraId="059BD007" w14:textId="77777777" w:rsidR="0073141E" w:rsidRPr="0073141E" w:rsidRDefault="0073141E" w:rsidP="0073141E">
      <w:pPr>
        <w:shd w:val="clear" w:color="auto" w:fill="FFFFFF"/>
        <w:spacing w:after="0" w:line="550" w:lineRule="atLeast"/>
        <w:ind w:left="720" w:right="75" w:hanging="720"/>
        <w:rPr>
          <w:rFonts w:ascii="Calibri" w:eastAsia="Times New Roman" w:hAnsi="Calibri" w:cs="Calibri"/>
          <w:color w:val="000000"/>
        </w:rPr>
      </w:pPr>
      <w:r w:rsidRPr="0073141E">
        <w:rPr>
          <w:rFonts w:ascii="Calibri" w:eastAsia="Times New Roman" w:hAnsi="Calibri" w:cs="Calibri"/>
          <w:color w:val="000000"/>
        </w:rPr>
        <w:t>Figure 2.3. Impact of the new personal income tax: Single person with a standard deduction. (n.d.). </w:t>
      </w:r>
      <w:hyperlink r:id="rId4" w:history="1">
        <w:r w:rsidRPr="0073141E">
          <w:rPr>
            <w:rFonts w:ascii="inherit" w:eastAsia="Times New Roman" w:hAnsi="inherit" w:cs="Calibri"/>
            <w:color w:val="000000"/>
            <w:u w:val="single"/>
          </w:rPr>
          <w:t>https://doi.org/10.1787/817010587585</w:t>
        </w:r>
      </w:hyperlink>
    </w:p>
    <w:p w14:paraId="329DEFCD" w14:textId="77777777" w:rsidR="0073141E" w:rsidRPr="0073141E" w:rsidRDefault="0073141E" w:rsidP="0073141E">
      <w:pPr>
        <w:shd w:val="clear" w:color="auto" w:fill="FFFFFF"/>
        <w:spacing w:after="0" w:line="550" w:lineRule="atLeast"/>
        <w:ind w:left="720" w:right="75" w:hanging="720"/>
        <w:rPr>
          <w:rFonts w:ascii="Calibri" w:eastAsia="Times New Roman" w:hAnsi="Calibri" w:cs="Calibri"/>
          <w:color w:val="000000"/>
        </w:rPr>
      </w:pPr>
      <w:proofErr w:type="spellStart"/>
      <w:r w:rsidRPr="0073141E">
        <w:rPr>
          <w:rFonts w:ascii="Calibri" w:eastAsia="Times New Roman" w:hAnsi="Calibri" w:cs="Calibri"/>
          <w:color w:val="000000"/>
        </w:rPr>
        <w:t>Prebble</w:t>
      </w:r>
      <w:proofErr w:type="spellEnd"/>
      <w:r w:rsidRPr="0073141E">
        <w:rPr>
          <w:rFonts w:ascii="Calibri" w:eastAsia="Times New Roman" w:hAnsi="Calibri" w:cs="Calibri"/>
          <w:color w:val="000000"/>
        </w:rPr>
        <w:t>, J. (2020). Income tax – Incentive deduction for increased exports of goods. </w:t>
      </w:r>
      <w:hyperlink r:id="rId5" w:history="1">
        <w:r w:rsidRPr="0073141E">
          <w:rPr>
            <w:rFonts w:ascii="inherit" w:eastAsia="Times New Roman" w:hAnsi="inherit" w:cs="Calibri"/>
            <w:color w:val="000000"/>
            <w:u w:val="single"/>
          </w:rPr>
          <w:t>https://doi.org/10.26686/wgtn.13180574</w:t>
        </w:r>
      </w:hyperlink>
    </w:p>
    <w:p w14:paraId="79504BF8" w14:textId="77777777" w:rsidR="0073141E" w:rsidRPr="0073141E" w:rsidRDefault="0073141E" w:rsidP="0073141E">
      <w:pPr>
        <w:shd w:val="clear" w:color="auto" w:fill="FFFFFF"/>
        <w:spacing w:after="0" w:line="550" w:lineRule="atLeast"/>
        <w:ind w:left="720" w:right="75" w:hanging="720"/>
        <w:rPr>
          <w:rFonts w:ascii="Calibri" w:eastAsia="Times New Roman" w:hAnsi="Calibri" w:cs="Calibri"/>
          <w:color w:val="000000"/>
        </w:rPr>
      </w:pPr>
      <w:proofErr w:type="spellStart"/>
      <w:r w:rsidRPr="0073141E">
        <w:rPr>
          <w:rFonts w:ascii="Calibri" w:eastAsia="Times New Roman" w:hAnsi="Calibri" w:cs="Calibri"/>
          <w:color w:val="000000"/>
        </w:rPr>
        <w:t>Hoxby</w:t>
      </w:r>
      <w:proofErr w:type="spellEnd"/>
      <w:r w:rsidRPr="0073141E">
        <w:rPr>
          <w:rFonts w:ascii="Calibri" w:eastAsia="Times New Roman" w:hAnsi="Calibri" w:cs="Calibri"/>
          <w:color w:val="000000"/>
        </w:rPr>
        <w:t>, C., &amp; Bulman, G. (2015). The effects of the tax deduction for postsecondary tuition: Implications for structuring tax-based aid. </w:t>
      </w:r>
      <w:hyperlink r:id="rId6" w:history="1">
        <w:r w:rsidRPr="0073141E">
          <w:rPr>
            <w:rFonts w:ascii="inherit" w:eastAsia="Times New Roman" w:hAnsi="inherit" w:cs="Calibri"/>
            <w:color w:val="000000"/>
            <w:u w:val="single"/>
          </w:rPr>
          <w:t>https://doi.org/10.3386/w21554</w:t>
        </w:r>
      </w:hyperlink>
    </w:p>
    <w:p w14:paraId="43775C5C" w14:textId="77777777" w:rsidR="0073141E" w:rsidRPr="0073141E" w:rsidRDefault="0073141E" w:rsidP="00EB712D">
      <w:pPr>
        <w:rPr>
          <w:rFonts w:ascii="Times New Roman" w:hAnsi="Times New Roman" w:cs="Times New Roman"/>
          <w:b/>
          <w:bCs/>
          <w:sz w:val="24"/>
          <w:szCs w:val="24"/>
        </w:rPr>
      </w:pPr>
    </w:p>
    <w:sectPr w:rsidR="0073141E" w:rsidRPr="00731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3D"/>
    <w:rsid w:val="00006960"/>
    <w:rsid w:val="000C6D10"/>
    <w:rsid w:val="0028281B"/>
    <w:rsid w:val="0032660D"/>
    <w:rsid w:val="00410C77"/>
    <w:rsid w:val="0055733D"/>
    <w:rsid w:val="005A2798"/>
    <w:rsid w:val="0073141E"/>
    <w:rsid w:val="008120D3"/>
    <w:rsid w:val="00920D3E"/>
    <w:rsid w:val="00A555A2"/>
    <w:rsid w:val="00AF35FA"/>
    <w:rsid w:val="00E62592"/>
    <w:rsid w:val="00EA6E45"/>
    <w:rsid w:val="00EB712D"/>
    <w:rsid w:val="00EE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C9C6"/>
  <w15:chartTrackingRefBased/>
  <w15:docId w15:val="{72C06F7B-5956-4190-8514-37AC41F0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14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314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577151">
      <w:bodyDiv w:val="1"/>
      <w:marLeft w:val="0"/>
      <w:marRight w:val="0"/>
      <w:marTop w:val="0"/>
      <w:marBottom w:val="0"/>
      <w:divBdr>
        <w:top w:val="none" w:sz="0" w:space="0" w:color="auto"/>
        <w:left w:val="none" w:sz="0" w:space="0" w:color="auto"/>
        <w:bottom w:val="none" w:sz="0" w:space="0" w:color="auto"/>
        <w:right w:val="none" w:sz="0" w:space="0" w:color="auto"/>
      </w:divBdr>
    </w:div>
    <w:div w:id="1597135252">
      <w:bodyDiv w:val="1"/>
      <w:marLeft w:val="0"/>
      <w:marRight w:val="0"/>
      <w:marTop w:val="0"/>
      <w:marBottom w:val="0"/>
      <w:divBdr>
        <w:top w:val="none" w:sz="0" w:space="0" w:color="auto"/>
        <w:left w:val="none" w:sz="0" w:space="0" w:color="auto"/>
        <w:bottom w:val="none" w:sz="0" w:space="0" w:color="auto"/>
        <w:right w:val="none" w:sz="0" w:space="0" w:color="auto"/>
      </w:divBdr>
    </w:div>
    <w:div w:id="19229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386/w21554" TargetMode="External"/><Relationship Id="rId5" Type="http://schemas.openxmlformats.org/officeDocument/2006/relationships/hyperlink" Target="https://doi.org/10.26686/wgtn.13180574" TargetMode="External"/><Relationship Id="rId4" Type="http://schemas.openxmlformats.org/officeDocument/2006/relationships/hyperlink" Target="https://doi.org/10.1787/8170105875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Benna Benna</dc:creator>
  <cp:lastModifiedBy>User</cp:lastModifiedBy>
  <cp:revision>3</cp:revision>
  <dcterms:created xsi:type="dcterms:W3CDTF">2021-09-11T13:36:00Z</dcterms:created>
  <dcterms:modified xsi:type="dcterms:W3CDTF">2021-09-12T21:26:00Z</dcterms:modified>
</cp:coreProperties>
</file>